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0A59">
      <w:pPr>
        <w:pStyle w:val="ConsPlusTitle"/>
        <w:jc w:val="center"/>
        <w:outlineLvl w:val="1"/>
      </w:pPr>
      <w:bookmarkStart w:id="0" w:name="Par142"/>
      <w:bookmarkEnd w:id="0"/>
      <w:r>
        <w:t xml:space="preserve">III. Перечень </w:t>
      </w:r>
      <w:r>
        <w:t>заболеваний и состояний, оказание медицинской</w:t>
      </w:r>
    </w:p>
    <w:p w:rsidR="00000000" w:rsidRDefault="005E0A59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000000" w:rsidRDefault="005E0A59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000000" w:rsidRDefault="005E0A59">
      <w:pPr>
        <w:pStyle w:val="ConsPlusTitle"/>
        <w:jc w:val="center"/>
      </w:pPr>
      <w:r>
        <w:t>бесплатно. Порядок и условия предоставления медицинской</w:t>
      </w:r>
    </w:p>
    <w:p w:rsidR="00000000" w:rsidRDefault="005E0A59">
      <w:pPr>
        <w:pStyle w:val="ConsPlusTitle"/>
        <w:jc w:val="center"/>
      </w:pPr>
      <w:r>
        <w:t>помощи в рамках Территориальной прогр</w:t>
      </w:r>
      <w:r>
        <w:t>аммы государственных</w:t>
      </w:r>
    </w:p>
    <w:p w:rsidR="00000000" w:rsidRDefault="005E0A59">
      <w:pPr>
        <w:pStyle w:val="ConsPlusTitle"/>
        <w:jc w:val="center"/>
      </w:pPr>
      <w:r>
        <w:t>гарантий</w:t>
      </w:r>
    </w:p>
    <w:p w:rsidR="00000000" w:rsidRDefault="005E0A59">
      <w:pPr>
        <w:pStyle w:val="ConsPlusNormal"/>
        <w:jc w:val="both"/>
      </w:pPr>
    </w:p>
    <w:p w:rsidR="00000000" w:rsidRDefault="005E0A59">
      <w:pPr>
        <w:pStyle w:val="ConsPlusNormal"/>
        <w:ind w:firstLine="540"/>
        <w:jc w:val="both"/>
      </w:pPr>
      <w: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w:anchor="Par54" w:tooltip="II. Перечень видов, форм и условий предоставления" w:history="1">
        <w:r>
          <w:rPr>
            <w:color w:val="0000FF"/>
          </w:rPr>
          <w:t>разделом II</w:t>
        </w:r>
      </w:hyperlink>
      <w:r>
        <w:t xml:space="preserve"> Территориал</w:t>
      </w:r>
      <w:r>
        <w:t>ьной программы государственных гарантий при следующих заболеваниях и состояниях: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крови, кро</w:t>
      </w:r>
      <w:r>
        <w:t>ветворных органов;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</w:t>
      </w:r>
      <w:r>
        <w:t xml:space="preserve"> полости рта, слюнных желез и челюстей (за исключением зубного протезирования);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отдельные состояния, возникающие у детей в перинаталь</w:t>
      </w:r>
      <w:r>
        <w:t>ный период;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ar223" w:tooltip="5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..." w:history="1">
        <w:r>
          <w:rPr>
            <w:color w:val="0000FF"/>
          </w:rPr>
          <w:t>пунктом 5 раздела III</w:t>
        </w:r>
      </w:hyperlink>
      <w:r>
        <w:t xml:space="preserve"> Территориальной прог</w:t>
      </w:r>
      <w:r>
        <w:t>раммы государственных гарантий;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медицинские осмотры,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</w:t>
      </w:r>
      <w:r>
        <w:t>й форме;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</w:t>
      </w:r>
      <w:r>
        <w:t>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диспансерное наблюдение - граждане, страдающие социально</w:t>
      </w:r>
      <w:r>
        <w:t xml:space="preserve">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медицинское обследование, лечение и медицинскую реабилитацию в рамк</w:t>
      </w:r>
      <w:r>
        <w:t>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пренатальную (дородовую) диагностику наруше</w:t>
      </w:r>
      <w:r>
        <w:t>ний развития ребенка - беременные женщины;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аудиологический скрининг - новорожденные дети и дети первого года жизни;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неонатальный скрининг (классическая фенилкетонурия, фенилкетонурия B, врожденный гипотиреоз с диффузным зобом, врожденный гипотиреоз без зоб</w:t>
      </w:r>
      <w:r>
        <w:t>а, кистозный фиброз неуточненный (муковисцидоз), нарушение обмена галактозы (галактоземия),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</w:t>
      </w:r>
      <w:r>
        <w:t>ми;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расширенный неонатальный скрининг (недостаточность других уточненных витаминов группы B (дефицит биотинидазы (дефицит биотин-зависимой карбоксилазы, недостаточность синтетазы голокарбоксилаз (недостаточность биотина), другие виды гиперфенилаланинемии </w:t>
      </w:r>
      <w:r>
        <w:lastRenderedPageBreak/>
        <w:t>(</w:t>
      </w:r>
      <w:r>
        <w:t>дефицит синтеза биоптерина (тетрагидробиоптерина), дефицит реактивации биоптерина (тетрагидробиоптерина); нарушения обмена тирозина (тирозинемия), болезнь с запахом кленового сиропа мочи (болезнь "кленового сиропа"), другие виды нарушений обмена аминокисло</w:t>
      </w:r>
      <w:r>
        <w:t>т с разветвленной цепью (пропионовая ацидемия), метилмалоновая метилмалонил-KoA-мутазы (ацидемия метилмалоновая), метилмалоновая ацидемия (недостаточность кобаламина A), метилмалоновая ацидемия (недостаточность кобаламина B), метилмалоновая ацидемия (дефиц</w:t>
      </w:r>
      <w:r>
        <w:t>ит метилмалонил-KoA-эпимеразы), метилмалоновая ацидемия (недостаточность кобаламина D), метилмалоновая ацидемия (недостаточность кобаламина C), изовалериановая ацидемия (ацидемия изовалериановая), 3-гидрокси-3-метилглутаровая недостаточность, бета-кетотиол</w:t>
      </w:r>
      <w:r>
        <w:t>азная недостаточность, нарушения обмена жирных кислот (первичная карнитиновая недостаточность, среднецепочечная ацил-KoAдегидрогеназная недостаточность; длинноцепочечная ацетил-KoA-дегидрогеназная недостаточность (дефицит очень длинной цепи ацил-KoA-дегидр</w:t>
      </w:r>
      <w:r>
        <w:t>огеназы (VLCAD), очень длинноцепочечная ацетил-KoA-дегидрогеназная недостаточность (дефицит очень длинной цепи ацил-KoA-дегидрогеназы (VLCAD), недостаточность митохондриального трифункционального белка, недостаточность карнитинпальмитоилтрансферазы, тип I,</w:t>
      </w:r>
      <w:r>
        <w:t xml:space="preserve"> недостаточность карнитин пальмитоилтрансферазы, тип II, недостаточность карнитин/ацилкарнитинтранслоказы, нарушения обмена серосодержащих аминокислот (гомоцистинурия), нарушения обмена цикла мочевины (цитруллинемия, тип I, аргиназная недостаточность), нар</w:t>
      </w:r>
      <w:r>
        <w:t>ушения обмена лизина и гидроксилизина (глутаровая ацидемия, тип I, глутаровая ацидемия, тип II (рибофлавин-чувствительная форма), детская спинальная мышечная атрофия, I тип (Вердинга-Гоффмана), другие наследственные спинальные мышечные атрофии, первичные и</w:t>
      </w:r>
      <w:r>
        <w:t>ммунодефициты) - новорожденные, родившиеся живыми.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</w:t>
      </w:r>
      <w:r>
        <w:t>й, психологической и медико-социальной помощи, в том числе по профилактике прерывания беременности.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Министерство в порядке, утвержденном Министерством здравоохранения Российской Федерации, ведет мониторинг оказываемой таким женщинам правовой, психологическ</w:t>
      </w:r>
      <w:r>
        <w:t>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оценивает эф</w:t>
      </w:r>
      <w:r>
        <w:t>фективность такой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обеспечение оказания медицинской помощи (при необходимости за </w:t>
      </w:r>
      <w:r>
        <w:t>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</w:t>
      </w:r>
      <w:r>
        <w:t>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</w:t>
      </w:r>
      <w:r>
        <w:t xml:space="preserve">нными новообразованиями, в том числе диагноз которых установлен медицинскими организациями, не являющимися </w:t>
      </w:r>
      <w:r>
        <w:lastRenderedPageBreak/>
        <w:t>специализированными онкологическими организациями, включая положение о передаче сведений о таких больных в профильные медицинские организации, осущес</w:t>
      </w:r>
      <w:r>
        <w:t>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</w:t>
      </w:r>
      <w:r>
        <w:t xml:space="preserve">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</w:t>
      </w:r>
      <w:r>
        <w:t>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hyperlink w:anchor="Par6236" w:tooltip="ПЕРЕЧЕНЬ" w:history="1">
        <w:r>
          <w:rPr>
            <w:color w:val="0000FF"/>
          </w:rPr>
          <w:t>Перечень</w:t>
        </w:r>
      </w:hyperlink>
      <w:r>
        <w:t xml:space="preserve"> заболеваний (состояний) и перечень видов медицинской пом</w:t>
      </w:r>
      <w:r>
        <w:t>ощи,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установлены в приложении 3 к Территориальной программе государственных гарант</w:t>
      </w:r>
      <w:r>
        <w:t>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2. Медицинская помощь организуется и оказывается в соответствии с порядками оказания медицинской помощи, утвержденными Министерством здравоохранения Российской Федерации, с учетом стандартов медицинской помощи и на основе клинических рекомендаций. Объе</w:t>
      </w:r>
      <w:r>
        <w:t>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Понятие "лечащий врач" используется в Территориальной программе государственных га</w:t>
      </w:r>
      <w:r>
        <w:t xml:space="preserve">рантий в значении, определенном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N 323-ФЗ.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3. Условия реализации установленного законодательством Российской Федерации права на выбор врача, в том </w:t>
      </w:r>
      <w:r>
        <w:t>числе врача общей практики (семейного врача) и лечащего врача (с учетом согласия врача).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</w:t>
      </w:r>
      <w:r>
        <w:t>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</w:t>
      </w:r>
      <w:r>
        <w:t xml:space="preserve">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</w:t>
      </w:r>
      <w:r>
        <w:t>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</w:t>
      </w:r>
      <w:r>
        <w:t>я на имя руководителя медицинской организации.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по направлению врача-терапевта участкового, врача-педиатра участкового, врача общей практики (семейного врача), фельдшера, врача-с</w:t>
      </w:r>
      <w:r>
        <w:t>пециалиста;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Для получения специализированной ме</w:t>
      </w:r>
      <w:r>
        <w:t>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государственных гарантий принимают участие несколько медицинских организаций, оказывающих мед</w:t>
      </w:r>
      <w:r>
        <w:t>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</w:t>
      </w:r>
      <w:r>
        <w:t>нтий.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При оказании гражданину медицинской помощи в рамках Территориальной программы государственных гарантий выбор медицинской организации (за исключением случаев оказания скорой медицинской помощи) за пределами территории субъекта Российской Федерации, в </w:t>
      </w:r>
      <w:r>
        <w:t xml:space="preserve">котором проживает гражданин, осуществляется согласно </w:t>
      </w:r>
      <w:hyperlink r:id="rId8" w:history="1">
        <w:r>
          <w:rPr>
            <w:color w:val="0000FF"/>
          </w:rPr>
          <w:t>Порядку</w:t>
        </w:r>
      </w:hyperlink>
      <w:r>
        <w:t xml:space="preserve"> выбора гражданином медицинской организации (за исключением случаев оказания скорой ме</w:t>
      </w:r>
      <w:r>
        <w:t>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приказом Министер</w:t>
      </w:r>
      <w:r>
        <w:t>ства здравоохранения Российской Федерации от 21 декабря 2012 г. N 1342н.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</w:t>
      </w:r>
      <w:r>
        <w:t>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4. Порядок реализации установленного законодательством Российской Федерации права внеочередного оказания медицинско</w:t>
      </w:r>
      <w:r>
        <w:t>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Право на внеочередное оказание медицинской помощи в соответствии с законодательством Российской Федерации имеют с</w:t>
      </w:r>
      <w:r>
        <w:t>ледующие категории граждан: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участники Великой Отечественной войны;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ветераны боевых действий;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ветераны боевых действий из числа лиц, указанных в </w:t>
      </w:r>
      <w:hyperlink r:id="rId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0" w:history="1">
        <w:r>
          <w:rPr>
            <w:color w:val="0000FF"/>
          </w:rPr>
          <w:t>5 пункта 1 статьи 3</w:t>
        </w:r>
      </w:hyperlink>
      <w:r>
        <w:t xml:space="preserve"> Федерального закона от 12 января 1995 г. N 5-ФЗ "О </w:t>
      </w:r>
      <w:r>
        <w:t>ветеранах";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военнослужащие, указанные в </w:t>
      </w:r>
      <w:hyperlink r:id="rId11" w:history="1">
        <w:r>
          <w:rPr>
            <w:color w:val="0000FF"/>
          </w:rPr>
          <w:t>абзаце первом статьи 17</w:t>
        </w:r>
      </w:hyperlink>
      <w:r>
        <w:t xml:space="preserve"> Федерального закона от 12 января 1995 г. N 5-ФЗ "О ветеранах", проходившие военную слу</w:t>
      </w:r>
      <w:r>
        <w:t>жбу в воинских частях, учреждениях, военно-</w:t>
      </w:r>
      <w:r>
        <w:lastRenderedPageBreak/>
        <w:t>учебных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 медалями СССР за службу в указанны</w:t>
      </w:r>
      <w:r>
        <w:t>й период;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лица, работавшие в период Великой Отечественной войны на объектах пр</w:t>
      </w:r>
      <w:r>
        <w:t xml:space="preserve">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</w:t>
      </w:r>
      <w:r>
        <w:t>участках железных и автомобильных дорог;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награжденные знаком "Почетный донор Российской Фе</w:t>
      </w:r>
      <w:r>
        <w:t>дерации";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инвалиды I и II групп, дети-инвалиды и лица, сопровождающие таких детей,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 октября 1992 г. N 1157</w:t>
      </w:r>
      <w:r>
        <w:t xml:space="preserve"> "О дополнительных мерах государственной поддержки инвалидов";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граждане, получившие или перенесшие лучевую болезнь, другие заболевания, и инвалиды вследствие Чернобыльской катастрофы (</w:t>
      </w:r>
      <w:hyperlink r:id="rId13" w:history="1">
        <w:r>
          <w:rPr>
            <w:color w:val="0000FF"/>
          </w:rPr>
          <w:t>статья 14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иные категории граждан в соответствии с законод</w:t>
      </w:r>
      <w:r>
        <w:t>ательством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</w:t>
      </w:r>
      <w:r>
        <w:t>ередное оказание медицинской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</w:t>
      </w:r>
      <w:r>
        <w:t>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Право на внеочередное оказание медицинской помощи реализуется при непосредственном обращении отдельных катег</w:t>
      </w:r>
      <w:r>
        <w:t>орий граждан в медицинскую организацию, оказывающую первичную медико-санитарную помощь в амбулаторных условиях.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</w:t>
      </w:r>
      <w:r>
        <w:t>х категорий граждан обеспечивает предварительную запись на прием к врачу в приоритетном порядке.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Амбулаторные карты отдельных категорий граждан подлежат дополнительной маркировке.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наличии медицинских (клинических) показаний для проведения дополнительно</w:t>
      </w:r>
      <w:r>
        <w:t xml:space="preserve">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</w:t>
      </w:r>
      <w:r>
        <w:t>исследований.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случае необходимости оказания отдельным категориям</w:t>
      </w:r>
      <w:r>
        <w:t xml:space="preserve">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</w:t>
      </w:r>
      <w:r>
        <w:t>еочередное оказание медицинской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</w:t>
      </w:r>
      <w:r>
        <w:t>ельных категорий граждан.</w:t>
      </w:r>
    </w:p>
    <w:p w:rsidR="00000000" w:rsidRDefault="005E0A59">
      <w:pPr>
        <w:pStyle w:val="ConsPlusNormal"/>
        <w:spacing w:before="240"/>
        <w:ind w:firstLine="540"/>
        <w:jc w:val="both"/>
      </w:pPr>
      <w:bookmarkStart w:id="1" w:name="Par223"/>
      <w:bookmarkEnd w:id="1"/>
      <w:r>
        <w:t>5.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r>
        <w:t>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</w:t>
      </w:r>
      <w:r>
        <w:t>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оказании в рамках Территориальной программы государственных гарантий первичной медико-санитарной помощи в усло</w:t>
      </w:r>
      <w:r>
        <w:t>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</w:t>
      </w:r>
      <w:r>
        <w:t xml:space="preserve"> медицинской помощи в стационарных условиях, условиях дневного стационара и при посещениях на дому обеспечение граждан донорской кровью и (или) ее компонентами, лечебным питанием, в том числе специализированными продуктами лечебного питания, лекарственными</w:t>
      </w:r>
      <w:r>
        <w:t xml:space="preserve">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</w:t>
      </w:r>
      <w:r>
        <w:t>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</w:t>
      </w:r>
      <w:r>
        <w:t>ом здравоохранения Российской Федерации, осуществляется бесплатно.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</w:t>
      </w:r>
      <w:r>
        <w:t xml:space="preserve">зненно необходимых и важнейших лекарственных препаратов, утвержденным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</w:t>
      </w:r>
      <w:r>
        <w:t xml:space="preserve">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</w:t>
      </w:r>
      <w:r>
        <w:lastRenderedPageBreak/>
        <w:t>в стандарты медицинской п</w:t>
      </w:r>
      <w:r>
        <w:t>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Порядок передачи от медицинской организации пациенту (его законному представителю) медицинских </w:t>
      </w:r>
      <w:r>
        <w:t>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Обеспечение граждан лекарственн</w:t>
      </w:r>
      <w:r>
        <w:t>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</w:t>
      </w:r>
      <w:r>
        <w:t>ем случаев, когда: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</w:t>
      </w:r>
      <w:r>
        <w:t>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</w:t>
      </w:r>
      <w:r>
        <w:t xml:space="preserve">елиями, имплантируемыми в организм человека, по рецептам на медицинские изделия, а также специализированными продуктами лечебного питания для детей-инвалидов в рамках </w:t>
      </w:r>
      <w:hyperlink r:id="rId16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 от 12 октября 2019 г. N 2406-р, а также </w:t>
      </w:r>
      <w:hyperlink r:id="rId17" w:history="1">
        <w:r>
          <w:rPr>
            <w:color w:val="0000FF"/>
          </w:rPr>
          <w:t>перечня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 Российской Федерации </w:t>
      </w:r>
      <w:r>
        <w:t xml:space="preserve">от 31 декабря 2018 г. N 3053-р, </w:t>
      </w:r>
      <w:hyperlink r:id="rId18" w:history="1">
        <w:r>
          <w:rPr>
            <w:color w:val="0000FF"/>
          </w:rPr>
          <w:t>перечня</w:t>
        </w:r>
      </w:hyperlink>
      <w:r>
        <w:t xml:space="preserve"> специализированных продуктов лечебного питания для детей-инвалидов на 2023 год, утвержденного распоряжение</w:t>
      </w:r>
      <w:r>
        <w:t>м Правительства Российской Федерации от 05 декабря 2022 г. N 3731-р;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</w:t>
      </w:r>
      <w:r>
        <w:t xml:space="preserve">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</w:t>
      </w:r>
      <w:r>
        <w:t xml:space="preserve">по рецептам врача с 50-процентной скидкой со свободных цен,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</w:t>
      </w:r>
      <w:r>
        <w:t xml:space="preserve">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w:anchor="Par6451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</w:t>
      </w:r>
      <w:r>
        <w:t>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</w:t>
      </w:r>
      <w:r>
        <w:t>торых лекарственные препараты отпускаются по рецептам врача с 50-процентной скидкой со свободных цен, установлены в приложении 4 к Территориальной программе государственных гарантий.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Назначение и выписывание гражданам лекарственных препаратов осуществляютс</w:t>
      </w:r>
      <w:r>
        <w:t>я в порядке, предусмотренном действующим законодательством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</w:t>
      </w:r>
      <w:r>
        <w:t xml:space="preserve">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</w:t>
      </w:r>
      <w:r>
        <w:t xml:space="preserve">улаторном лечении которых лекарственные препараты отпускаются по рецептам врача с 50-процентной скидкой,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</w:t>
      </w:r>
      <w:r>
        <w:t>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</w:t>
      </w:r>
      <w:r>
        <w:t>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аптечными организациями, вклю</w:t>
      </w:r>
      <w:r>
        <w:t>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по результатам проводимого Министерством отбора. Информация о Пер</w:t>
      </w:r>
      <w:r>
        <w:t>ечне пунктов отпуска размещается на официальном сайте Министерства.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</w:t>
      </w:r>
      <w:r>
        <w:t xml:space="preserve">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стационара, в экстренной, неотложной и плановой формах.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Медицинскими организациями, имеющими лицензию на </w:t>
      </w:r>
      <w:r>
        <w:t>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Порядок обеспеч</w:t>
      </w:r>
      <w:r>
        <w:t>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Обеспечение безопасности донорской крови и (или) ее компонентов при их заготовке, хранении, транспортировке и клиническом </w:t>
      </w:r>
      <w:r>
        <w:t xml:space="preserve">использовании регламентировано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 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</w:t>
      </w:r>
      <w:r>
        <w:t>ившими силу некоторых актов Правительства Российской Федерации".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</w:t>
      </w:r>
      <w:r>
        <w:t>том числе в отношении реакций и осложнений, возникших после переливания.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Клиническое использование донорской крови и (или) ее компонентов осуществляется врачом-трансфузиологом или лечащим врачом либо дежурным врачом, которые прошли обучение по вопросам тра</w:t>
      </w:r>
      <w:r>
        <w:t>нсфузиологии, на основании клинических рекомендаций (протоколов лечения).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Обеспечение граждан донорской кровью и (или) ее компонентами производится без взимания </w:t>
      </w:r>
      <w:r>
        <w:lastRenderedPageBreak/>
        <w:t>платы.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6. Порядок оказания медицинской помощи гражданам и их маршрутизации при проведении медиц</w:t>
      </w:r>
      <w:r>
        <w:t>инской реабилитации на всех этапах ее оказания.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на всех этапах ее оказания с учетом маршрутизации осуществляется по медицинским показаниям при оказании специализированной, в том числе высокотехнологичной, медицинской помощи в услов</w:t>
      </w:r>
      <w:r>
        <w:t>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осуществляется медицинскими организациями или иными организациями, имеющим</w:t>
      </w:r>
      <w:r>
        <w:t>и лицензию на медицинскую деятельность с указанием работ (услуг) по медицинской реабилитации.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осуществляется в три</w:t>
      </w:r>
      <w:r>
        <w:t xml:space="preserve"> этапа.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Первый этап меди</w:t>
      </w:r>
      <w:r>
        <w:t>цинской реабилитации осуществляется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на втором этапе осуществляется п</w:t>
      </w:r>
      <w:r>
        <w:t>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 в стационарных усло</w:t>
      </w:r>
      <w:r>
        <w:t>виях.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реабилитация на третьем этапе осуществляется по направлению врача-терапевт</w:t>
      </w:r>
      <w:r>
        <w:t>а (врача-терапевта участкового), врача общей практики (семейного врача), врача-специалиста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Пациенты, состояние которых не изменилось после проведения мероприятий по медицинской реабилитации в медицинской организации Пермского края, для оказания специализированной, в том числе высокотехнологической, медицинской помощи в стационарных условиях могу</w:t>
      </w:r>
      <w:r>
        <w:t>т быть направлены на медицинскую реабилитацию в федеральные учреждения, осуществляющие медицинскую реабилитацию.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Пациенты, имеющие медицинские показания для оказания паллиативной медицинской </w:t>
      </w:r>
      <w:r>
        <w:lastRenderedPageBreak/>
        <w:t>помощи, направляются в медицинские организации, оказывающие палли</w:t>
      </w:r>
      <w:r>
        <w:t>ативную медицинскую помощь.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Регламент оказания медицинской помощи по профилю "медицинская реабилитация" в Пермском крае утвержден приказом Министерства.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7. Порядок обеспечения граждан в рамках оказания паллиативной медицинской помощи для использования на д</w:t>
      </w:r>
      <w:r>
        <w:t>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Обеспечение граждан при оказании </w:t>
      </w:r>
      <w:r>
        <w:t>в рамках Территориальной программы государственных гарантий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осуществляется бесплатно.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Перечень м</w:t>
      </w:r>
      <w:r>
        <w:t>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</w:t>
      </w:r>
      <w:r>
        <w:t>й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Обеспечение граждан медицинскими изделиями осуществляется по решению врачебной комиссии медицинской организации, ок</w:t>
      </w:r>
      <w:r>
        <w:t>азывающей паллиативную медицинскую помощь, при наличии медицинских показаний.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</w:t>
      </w:r>
      <w:r>
        <w:t>ой организации при наличии медицинских показаний по рецепту бесплатно.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</w:t>
      </w:r>
      <w:r>
        <w:t xml:space="preserve">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</w:t>
      </w:r>
      <w:r>
        <w:t>в рецептов, в том числе в форме электронных документов" аптечными организациями, включенными в Перечень пунктов отпуска.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8. Порядок взаимодействия с референс-центрами Министерства здравоохранения Российской Федерации, созданными в целях предупреждения расп</w:t>
      </w:r>
      <w:r>
        <w:t>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</w:t>
      </w:r>
      <w:r>
        <w:t>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Взаимодействие медицинских организаций, подведомственных Министерству, с референс-</w:t>
      </w:r>
      <w:r>
        <w:lastRenderedPageBreak/>
        <w:t>центрами Министерства здравоохранения Российской Федерации (передача сведений и материала из медицинских организаций) осуществляется в целях</w:t>
      </w:r>
      <w:r>
        <w:t>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предупреждения распространения биологических угроз (опасностей) на территории Пермского края;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уточнения диагноза, установления диагноза в сложных клинических случаях;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получения методической помощи по организации проведения исследований злокачественных но</w:t>
      </w:r>
      <w:r>
        <w:t>вообразований с использованием лучевых методов в части соблюдения стандартов, порядков и клинических рекомендаций в соответствии с критериями качества, применяемыми к исследованиям с применением лучевых методов и в формулировании итоговых заключений по ста</w:t>
      </w:r>
      <w:r>
        <w:t>ндартизованным критериям;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проведения экспертных патоморфологических и дополнительных диагностических исследований биологического материала с целью верификации диагноза, в том числе проведения иммуногистохимических исследований с целью назначения специально</w:t>
      </w:r>
      <w:r>
        <w:t>го противоопухолевого лечения.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Перечни референс-центров Министерства здравоохранения Российской Федерации утверждены приказами Министерства здравоохранения Российской Федерации от 14 октября 2022 г. N 671н "Об утверждении Порядка организации деятельности р</w:t>
      </w:r>
      <w:r>
        <w:t xml:space="preserve">еференс-центров Министерства здравоохранения Российской Федерации, создаваемых на базе медицинских и иных организаций, в целях предупреждения распространения биологических угроз (опасностей)" и от 25 декабря 2020 г. </w:t>
      </w:r>
      <w:hyperlink r:id="rId24" w:history="1">
        <w:r>
          <w:rPr>
            <w:color w:val="0000FF"/>
          </w:rPr>
          <w:t>N 1372</w:t>
        </w:r>
      </w:hyperlink>
      <w:r>
        <w:t xml:space="preserve"> "Об организации функционирования референс-центров иммуногистохимических, патоморфологических и лучевых методов исследований на базе медицинских организаций, подведомственных Министерству здравоохранен</w:t>
      </w:r>
      <w:r>
        <w:t>ия Российской Федерации".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осуществлении мероприятий по предупреждению распространения биологических угроз (опасностей) ответственными лицами в медицинских организациях направляются сведения и биологические материалы в референс-центры Министерства здрав</w:t>
      </w:r>
      <w:r>
        <w:t>оохранения Российской Федерации в случаях: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выявления инфекционных и паразитарных болезней, подлежащих исследованиям и оценке референс-центрами, в том числе связанных с возникновением и распространением новых инфекций, заносом и распространением редких и (и</w:t>
      </w:r>
      <w:r>
        <w:t>ли) ранее не встречавшихся на территории Российской Федерации инфекционных и паразитарных болезней;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невозможности верифицировать возбудителей инфекционных и паразитарных болезней в лаборатории медицинской организации;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выявления резистентности возбудителей </w:t>
      </w:r>
      <w:r>
        <w:t>инфекционных и паразитарных болезней.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наличии клинических показаний у пациентов в части проведения консультаций с применением телемедицинских технологий, оценки, интерпретации и описания результатов иммуногистохимических, патоморфологических, молекуляр</w:t>
      </w:r>
      <w:r>
        <w:t xml:space="preserve">но-генетических и лучевых исследований злокачественных новообразований, а также повторного проведения диагностического исследования биологического материала, ответственными лицами в медицинских </w:t>
      </w:r>
      <w:r>
        <w:lastRenderedPageBreak/>
        <w:t>организациях направляются соответствующие цифровые изображения</w:t>
      </w:r>
      <w:r>
        <w:t>, полученные по результатам патоморфологических и лучевых методов исследований, а также биопсийный (операционный) материал для повторного проведения исследований в референс-центры Министерства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Референс-центры Министерс</w:t>
      </w:r>
      <w:r>
        <w:t>тва здравоохранения Российской Федерации направляют медицинским организациям заключение, содержащее результаты проведенных исследований и необходимые рекомендации.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9. В рамках Территориальной программы государственных гарантий осуществляются следующие меро</w:t>
      </w:r>
      <w:r>
        <w:t>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</w:t>
      </w:r>
      <w:r>
        <w:t xml:space="preserve"> прививок и календарем профилактических прививок по эпидемическим показаниям;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формированию здорового образа жизни у граждан с детского возраста путем проведения мероприятий, направленных на информирование граждан о факторах риска для их здор</w:t>
      </w:r>
      <w:r>
        <w:t>овья, формирование мотивации к ведению здорового образа жизни;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</w:t>
      </w:r>
      <w:r>
        <w:t>ях по очной форме;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осмотры врачами и диагностические исследования в целях медицинского освидетельствования лиц, желающих у</w:t>
      </w:r>
      <w:r>
        <w:t>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медицинское обследование детей-сирот и детей, оставшихся без попечения родителей, помещаемых под надзор в организацию для де</w:t>
      </w:r>
      <w:r>
        <w:t>тей-сирот и детей, оставшихся без попечения родителей;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обязательные диагностические исследования и оказание медицинской </w:t>
      </w:r>
      <w:r>
        <w:t>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</w:t>
      </w:r>
      <w:r>
        <w:t xml:space="preserve">разования, заключении с Министерством обороны Российской Федерации договора об обучении в военном учебном центре </w:t>
      </w:r>
      <w:r>
        <w:lastRenderedPageBreak/>
        <w:t>при федеральной государственной образовательной организации высшего образования по программе военной подготовки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</w:t>
      </w:r>
      <w:r>
        <w:t>инского освидетельствования в целях определения годности граждан к военной или приравненной к ней службе;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консультирование по вопросам сохранения и укрепления здоровья, профилактики заболеваний;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предупреждению абортов, включая доабортное кон</w:t>
      </w:r>
      <w:r>
        <w:t>сультирование беременных женщин медицинскими психологами (психологами, специалистами по социальной работе);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</w:t>
      </w:r>
      <w:r>
        <w:t>риятия, направленные на раннюю профилактику беременности и абортов у несовершеннолетних;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повышению уровня информированности граждан по вопросам профилактики ВИЧ-инфекции и заболеваний, ассоциированных с ВИЧ-инфекцией, а также гепатита C;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</w:t>
      </w:r>
      <w:r>
        <w:t>оприятия по проведению медицинского освидетельствования населения на ВИЧ-инфекцию;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снижению риска передачи ВИЧ-инфекции от матери к ребенку;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мероприятия по проведению исследований групп риска на вирусный гепатит C;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пренатальная (дородовая) д</w:t>
      </w:r>
      <w:r>
        <w:t>иагностика нарушений развития ребенка - беременные женщины;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неонатальный скрининг (классическая фенилкетонурия; фенилкетонурия B, врожденный гипотиреоз с диффузным зобом, врожденный гипотиреоз без зоба, кистозный фиброз неуточненный (муковисцидоз), нарушен</w:t>
      </w:r>
      <w:r>
        <w:t>ие обмена галактозы (галактоземия),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живыми;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расширенный неонатальный скрининг (недостаточность д</w:t>
      </w:r>
      <w:r>
        <w:t>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биотина), другие виды гиперфенилаланинемии (дефицит синтеза биоптерина (тетрагидробиоптерина), дефиц</w:t>
      </w:r>
      <w:r>
        <w:t>ит реактивации биоптерина (тетрагидробиоптерина), нарушения обмена тирозина (тирозинемия), болезнь с запахом кленового сиропа мочи (болезнь "кленового сиропа"), другие виды нарушений обмена аминокислот с разветвленной цепью (пропионовая ацидемия); метилмал</w:t>
      </w:r>
      <w:r>
        <w:t xml:space="preserve">оновая метилмалонил-KoA-мутазы (ацидемия метилмалоновая); метилмалоновая ацидемия (недостаточность кобаламина A), метилмалоновая ацидемия (недостаточность кобаламина B), метилмалоновая ацидемия (дефицит метилмалонил-KoA-эпимеразы), метилмалоновая ацидемия </w:t>
      </w:r>
      <w:r>
        <w:t xml:space="preserve">(недостаточность кобаламина D), </w:t>
      </w:r>
      <w:r>
        <w:lastRenderedPageBreak/>
        <w:t>метилмалоновая ацидемия (недостаточность кобаламина C), изовалериановая ацидемия (ацидемия изовалериановая); 3-гидрокси-3-метилглутаровая недостаточность; бета-кетотиолазная недостаточность, нарушения обмена жирных кислот (п</w:t>
      </w:r>
      <w:r>
        <w:t>ервичная карнитиновая недостаточность, среднецепочечная ацил-KoA-дегидрогеназная недостаточность; длинноцепочечная ацетил-KoA-дегидрогеназная недостаточность (дефицит очень длинной цепи ацил-KoA-дегидрогеназы (VLCAD), очень длинноцепочечная ацетил-KoA-деги</w:t>
      </w:r>
      <w:r>
        <w:t>дрогеназная недостаточность (дефицит очень длинной цепи ацил-KoA-дегидрогеназы (VLCAD), недостаточность митохондриального трифункционального белка; недостаточность карнитинпальмитоилтрансферазы, тип I, недостаточность карнитин пальмитоилтрансферазы, тип II</w:t>
      </w:r>
      <w:r>
        <w:t>, недостаточность карнитин/ацилкарнитинтранслоказы, нарушения обмена серосодержащих аминокислот (гомоцистинурия), нарушения обмена цикла мочевины (цитруллинемия, тип I, аргиназная недостаточность), нарушения обмена лизина и гидроксилизина (глутаровая ациде</w:t>
      </w:r>
      <w:r>
        <w:t>мия, тип I, глутаровая ацидемия, тип II (рибофлавин-чувствительная форма), детская спинальная мышечная атрофия, I тип (Вердинга-Гоффмана), другие наследственные спинальные мышечные атрофии; первичные иммунодефициты) - новорожденные, родившиеся живыми;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ауди</w:t>
      </w:r>
      <w:r>
        <w:t>ологический скрининг - новорожденные дети и дети первого года жизни;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</w:t>
      </w:r>
      <w:r>
        <w:t>, функциональными расстройствами, иными состояниями;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диспансерное наблюдение женщин в период беременности;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диспансеризация отдельных категорий граждан;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диспансерное наблюдение граждан, находящихся в стационарных организациях социального обслуживания;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</w:t>
      </w:r>
      <w:r>
        <w:t xml:space="preserve">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</w:t>
      </w:r>
      <w:r>
        <w:t>помещениях, а также проживающих в сельской местности, рабочих поселках и поселках городского типа.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10.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</w:t>
      </w:r>
      <w:r>
        <w:t>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</w:t>
      </w:r>
      <w:r>
        <w:t>их показаний.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условиях дневного стационара в медицинской организации пациенту предоставляются: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койко-место в палате;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лечебно-диагностические и реабилитационные мероприятия;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консультации врачей-специалистов по показаниям.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В круглосуточном стационаре пацие</w:t>
      </w:r>
      <w:r>
        <w:t>нту предоставляются: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койка в палате на два и более места;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питание.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11.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маломестных палатах (боксах) по медицинским и (или) эпидемиологическим</w:t>
      </w:r>
      <w:r>
        <w:t xml:space="preserve"> показаниям, перечень которых утвержден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</w:t>
      </w:r>
      <w:r>
        <w:t>чня медицинских и эпидемиологических показаний к размещению пациентов в маломестных палатах (боксах)", пациенту предоставляются: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койка в палате (боксах) на два и более места;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лечебно-диагностические и реабилитационные мероприятия, консультации врачей-специ</w:t>
      </w:r>
      <w:r>
        <w:t>алистов по показаниям;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питание.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оказании медицинской помощи детям в стационарных условиях, в том числе в маломестных палатах (боксах), по медицинским и (или) эпидемиологическим показаниям: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одному из родителей, иному члену семьи или иному законному пред</w:t>
      </w:r>
      <w:r>
        <w:t>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</w:t>
      </w:r>
      <w:r>
        <w:t>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 ребенком-инвалидом, который в соответствии с индивидуальной программой реабилита</w:t>
      </w:r>
      <w:r>
        <w:t xml:space="preserve">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</w:t>
      </w:r>
      <w:r>
        <w:t>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 ребенком до достижения им возраста четырех лет;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 ребенком в возрасте старше четы</w:t>
      </w:r>
      <w:r>
        <w:t>рех лет - при наличии медицинских показаний;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</w:t>
      </w:r>
      <w:r>
        <w:lastRenderedPageBreak/>
        <w:t xml:space="preserve">представителя в медицинской организации </w:t>
      </w:r>
      <w:r>
        <w:t>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 абилитации ребе</w:t>
      </w:r>
      <w:r>
        <w:t>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</w:t>
      </w:r>
      <w:r>
        <w:t>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Проведение лечебно-диагностических мероприятий начинается в день госпитализации после осмотра пациента леч</w:t>
      </w:r>
      <w:r>
        <w:t>ащим врачом.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05 августа 2003 г. </w:t>
      </w:r>
      <w:hyperlink r:id="rId26" w:history="1">
        <w:r>
          <w:rPr>
            <w:color w:val="0000FF"/>
          </w:rPr>
          <w:t>N 330</w:t>
        </w:r>
      </w:hyperlink>
      <w:r>
        <w:t xml:space="preserve"> "О мерах по совершенствованию лечебного питания в лечебно-профилактических учреждениях Российской Федерации", от 21 июня 2013 г. </w:t>
      </w:r>
      <w:hyperlink r:id="rId27" w:history="1">
        <w:r>
          <w:rPr>
            <w:color w:val="0000FF"/>
          </w:rPr>
          <w:t>N 395н</w:t>
        </w:r>
      </w:hyperlink>
      <w:r>
        <w:t xml:space="preserve"> "Об утверждении норм лечебного питания".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12.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</w:t>
      </w:r>
      <w:r>
        <w:t>иализированную, в том числе высокотехнологичную, медицинскую помощь, а также медицинскую реабилитацию.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</w:t>
      </w:r>
      <w:r>
        <w:t>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</w:t>
      </w:r>
      <w:r>
        <w:t xml:space="preserve">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случае медицинской эвакуации в медицинские организации детей брига</w:t>
      </w:r>
      <w:r>
        <w:t>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Уход за детьми, госпитализированными в круглосуточные стационары медицинских организаций, осуществляется сред</w:t>
      </w:r>
      <w:r>
        <w:t>ним и младшим медицинским персоналом медицинской организации, в которую госпитализирован ребенок.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</w:t>
      </w:r>
      <w:r>
        <w:t>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13. Порядок предоставления транспортных услуг при сопровождении медицинским работником пациента, находящего</w:t>
      </w:r>
      <w:r>
        <w:t>ся на лечении в стационарных условиях.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</w:t>
      </w:r>
      <w:r>
        <w:t>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</w:t>
      </w:r>
      <w:r>
        <w:t>кую помощь пациенту.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Сопровождение пациента в медицин</w:t>
      </w:r>
      <w:r>
        <w:t>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Транспортировка пациента осуществляется на основании решения врачебной комиссии м</w:t>
      </w:r>
      <w:r>
        <w:t>едицинской организации, оказывающей медицинскую помощь пациенту.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14. Условия и сроки диспансеризации для отдельных категорий населения, профилактических медицинских осмотров населения, в том числе несовершеннолетних.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Диспансеризация проводится в отношении: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детей-сирот и дете</w:t>
      </w:r>
      <w:r>
        <w:t>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</w:t>
      </w:r>
      <w:r>
        <w:t>аждан, находящихся в стационарных организациях социального обслуживания;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</w:t>
      </w:r>
      <w:r>
        <w:t>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граждан, перенесших новую коронавирусную инфекцию (COVID-19).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Диспансеризация указанных категорий гражд</w:t>
      </w:r>
      <w:r>
        <w:t>ан осуществляется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условиях, в том числе с использованием мобильных комплексов для жите</w:t>
      </w:r>
      <w:r>
        <w:t>лей отдаленных поселений и труднодоступных территорий.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Диспансеризация проводится врачами нескольких специальностей с применением </w:t>
      </w:r>
      <w:r>
        <w:lastRenderedPageBreak/>
        <w:t xml:space="preserve">необходимых методов обследований, осуществляемых в соответствии с приказами Министерства здравоохранения Российской Федерации </w:t>
      </w:r>
      <w:r>
        <w:t xml:space="preserve">от 27 апреля 2021 г. </w:t>
      </w:r>
      <w:hyperlink r:id="rId28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</w:t>
      </w:r>
      <w:r>
        <w:t xml:space="preserve">февраля 2013 г. </w:t>
      </w:r>
      <w:hyperlink r:id="rId29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21 апреля</w:t>
      </w:r>
      <w:r>
        <w:t xml:space="preserve"> 2022 г. </w:t>
      </w:r>
      <w:hyperlink r:id="rId30" w:history="1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</w:t>
      </w:r>
      <w:r>
        <w:t xml:space="preserve">пеку (попечительство), в приемную или патронатную семью", от 01 июля 2021 г. </w:t>
      </w:r>
      <w:hyperlink r:id="rId31" w:history="1">
        <w:r>
          <w:rPr>
            <w:color w:val="0000FF"/>
          </w:rPr>
          <w:t>N 698н</w:t>
        </w:r>
      </w:hyperlink>
      <w:r>
        <w:t xml:space="preserve"> "Об утверждении Порядка направления граждан на прохождение углубленной диспансериза</w:t>
      </w:r>
      <w:r>
        <w:t>ции, включая категории граждан, проходящих углубленную диспансеризацию в первоочередном порядке".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</w:t>
      </w:r>
      <w:r>
        <w:t>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</w:t>
      </w:r>
      <w:r>
        <w:t>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Диспансеризация определенных групп взрослого населения, детей-сирот и детей, оставшихся без попечения </w:t>
      </w:r>
      <w:r>
        <w:t>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</w:t>
      </w:r>
      <w:r>
        <w:t>лендарного года.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осмотры несовершеннолетних осуществляются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 п</w:t>
      </w:r>
      <w:r>
        <w:t>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осмотры несовершеннолетних проводятся врачами нескольких специальн</w:t>
      </w:r>
      <w:r>
        <w:t xml:space="preserve">остей с применением необходимых методов обследований, осуществляемых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</w:t>
      </w:r>
      <w:r>
        <w:t>оссийской Федерации от 10 августа 2017 г. N 514н "О Порядке проведения профилактических медицинских осмотров несовершеннолетних".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несовер</w:t>
      </w:r>
      <w:r>
        <w:t>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осмотры несовершеннолетних проводятся в течение одного календарного года.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Профилактические медицинские ос</w:t>
      </w:r>
      <w:r>
        <w:t xml:space="preserve">мотры граждан проводятся в соответствии с приказами Министерства здравоохранения Российской Федерации от 06 октября 2014 г. </w:t>
      </w:r>
      <w:hyperlink r:id="rId33" w:history="1">
        <w:r>
          <w:rPr>
            <w:color w:val="0000FF"/>
          </w:rPr>
          <w:t>N 581н</w:t>
        </w:r>
      </w:hyperlink>
      <w:r>
        <w:t xml:space="preserve"> "О Порядке проведения профилактическ</w:t>
      </w:r>
      <w:r>
        <w:t xml:space="preserve">их медицинских осмотров обучающихся в общеобразовательных </w:t>
      </w:r>
      <w:r>
        <w:lastRenderedPageBreak/>
        <w:t>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</w:t>
      </w:r>
      <w:r>
        <w:t xml:space="preserve">тропных веществ", от 27 апреля 2021 г. </w:t>
      </w:r>
      <w:hyperlink r:id="rId34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</w:t>
      </w:r>
      <w:r>
        <w:t>населения".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помощь в экст</w:t>
      </w:r>
      <w:r>
        <w:t>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помощь в экстренной форме оказывается медицинской организацией и медицинским</w:t>
      </w:r>
      <w:r>
        <w:t xml:space="preserve"> работником гражданину безотлагательно и бесплатно. Отказ в ее оказании не допускается.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Критерием экстренности медицинской помощи является наличие угрожающих жизни состояний, определенных </w:t>
      </w:r>
      <w:hyperlink r:id="rId35" w:history="1">
        <w:r>
          <w:rPr>
            <w:color w:val="0000FF"/>
          </w:rPr>
          <w:t>пунктами 6.1</w:t>
        </w:r>
      </w:hyperlink>
      <w:r>
        <w:t xml:space="preserve"> и </w:t>
      </w:r>
      <w:hyperlink r:id="rId36" w:history="1">
        <w:r>
          <w:rPr>
            <w:color w:val="0000FF"/>
          </w:rPr>
          <w:t>6.2</w:t>
        </w:r>
      </w:hyperlink>
      <w:r>
        <w:t xml:space="preserve"> Медицинских критериев определения степени тяжести вреда, причиненного здоровью челове</w:t>
      </w:r>
      <w:r>
        <w:t>ка, утвержденных приказом Министерства здравоохранения и социального развития Российской Федерации от 24 апреля 2008 г. N 194н.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000000" w:rsidRDefault="005E0A59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и условия предоставления указанной субсидии установлены постановлением Правительства Пермского края от 02 февраля 2022 г. N 52-п "Об утв</w:t>
      </w:r>
      <w:r>
        <w:t>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</w:t>
      </w:r>
      <w:r>
        <w:t>ого оказания гражданам медицинской помощи".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</w:t>
      </w:r>
      <w:r>
        <w:t>ной форме.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16.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</w:t>
      </w:r>
      <w:r>
        <w:t>зания первичной медико-санитарной помощи в неотложной форме, время доезда до пациента бригад скорой медицинской помощи при оказании скорой медицинской помощи в экстренной форме.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Сроки ожидания приема врачами-терапевтами участковыми, врачами общей практики </w:t>
      </w:r>
      <w:r>
        <w:t>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сроки ожидания оказания первичной медико-санитарной помощи в неотложной форме не </w:t>
      </w:r>
      <w:r>
        <w:lastRenderedPageBreak/>
        <w:t>должны превышать 2 часов с момента обр</w:t>
      </w:r>
      <w:r>
        <w:t>ащения пациента в медицинскую организацию;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проведения</w:t>
      </w:r>
      <w:r>
        <w:t xml:space="preserve"> консультаций врачей-специалистов в случае подозрения на онкологические заболевания не должны превышать 3 рабочих дней;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</w:t>
      </w:r>
      <w:r>
        <w:t>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</w:t>
      </w:r>
      <w:r>
        <w:t>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</w:t>
      </w:r>
      <w:r>
        <w:t>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</w:t>
      </w:r>
      <w:r>
        <w:t>превышать 3 рабочих дня с момента постановки диагноза онкологического заболевания;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</w:t>
      </w:r>
      <w:r>
        <w:t xml:space="preserve">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</w:t>
      </w:r>
      <w:r>
        <w:t>ухоли или с момента установления диагноза заболевания (состояния).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</w:t>
      </w:r>
      <w:r>
        <w:t>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Для населенных пунктов Пермского края с численностью населения менее</w:t>
      </w:r>
      <w:r>
        <w:t xml:space="preserve">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</w:t>
      </w:r>
      <w:r>
        <w:t>нностей Пермского края может составлять: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lastRenderedPageBreak/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до 60 минут с момента ее вызова при расстоянии от 41 до 60 кило</w:t>
      </w:r>
      <w:r>
        <w:t>метров от отделения (подстанции) скорой медицинской помощи до места нахождения пациента;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Направление граждан</w:t>
      </w:r>
      <w:r>
        <w:t>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Пациентам, нуждающимся в оказании паллиа</w:t>
      </w:r>
      <w:r>
        <w:t>тивной медицинской помощи и имеющим хронические заболевания, в условиях возникновения угрозы распространения заболеваний, вызванных новой коронавирусной инфекцией (COVID-19), медицинские организации в амбулаторных условиях организуют динамическое диспансер</w:t>
      </w:r>
      <w:r>
        <w:t>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При в</w:t>
      </w:r>
      <w:r>
        <w:t>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</w:t>
      </w:r>
      <w:r>
        <w:t>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</w:t>
      </w:r>
      <w:r>
        <w:t>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</w:t>
      </w:r>
      <w:r>
        <w:t>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</w:t>
      </w:r>
      <w:r>
        <w:t>ьно.</w:t>
      </w:r>
    </w:p>
    <w:p w:rsidR="00000000" w:rsidRDefault="005E0A59">
      <w:pPr>
        <w:pStyle w:val="ConsPlusNormal"/>
        <w:spacing w:before="240"/>
        <w:ind w:firstLine="540"/>
        <w:jc w:val="both"/>
      </w:pPr>
      <w:r>
        <w:t>17. Порядок транспортировки и хранения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 утверждается нормативным правовым актом Министерс</w:t>
      </w:r>
      <w:r>
        <w:t>тва.</w:t>
      </w:r>
    </w:p>
    <w:p w:rsidR="005E0A59" w:rsidRDefault="005E0A59">
      <w:pPr>
        <w:pStyle w:val="ConsPlusNormal"/>
        <w:spacing w:before="240"/>
        <w:ind w:firstLine="540"/>
        <w:jc w:val="both"/>
      </w:pPr>
      <w:r>
        <w:t xml:space="preserve">18. Целевые </w:t>
      </w:r>
      <w:hyperlink w:anchor="Par10497" w:tooltip="ЦЕЛЕВЫЕ ЗНАЧЕНИЯ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2024 </w:t>
      </w:r>
      <w:r>
        <w:t>год и на плановый период 2025 и 2026 годов, установлены в приложении 5 к настоящей Территориальной программе государственных гарантий.</w:t>
      </w:r>
      <w:bookmarkStart w:id="2" w:name="_GoBack"/>
      <w:bookmarkEnd w:id="2"/>
    </w:p>
    <w:sectPr w:rsidR="005E0A59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59" w:rsidRDefault="005E0A59">
      <w:pPr>
        <w:spacing w:after="0" w:line="240" w:lineRule="auto"/>
      </w:pPr>
      <w:r>
        <w:separator/>
      </w:r>
    </w:p>
  </w:endnote>
  <w:endnote w:type="continuationSeparator" w:id="0">
    <w:p w:rsidR="005E0A59" w:rsidRDefault="005E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A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A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A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43F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F84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43F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F84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E0A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59" w:rsidRDefault="005E0A59">
      <w:pPr>
        <w:spacing w:after="0" w:line="240" w:lineRule="auto"/>
      </w:pPr>
      <w:r>
        <w:separator/>
      </w:r>
    </w:p>
  </w:footnote>
  <w:footnote w:type="continuationSeparator" w:id="0">
    <w:p w:rsidR="005E0A59" w:rsidRDefault="005E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A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A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5E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0A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4"/>
    <w:rsid w:val="005E0A59"/>
    <w:rsid w:val="00D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3A1252-4439-4042-B8CA-9779A8D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3633&amp;date=18.03.2024&amp;dst=100009&amp;field=134" TargetMode="External"/><Relationship Id="rId13" Type="http://schemas.openxmlformats.org/officeDocument/2006/relationships/hyperlink" Target="https://login.consultant.ru/link/?req=doc&amp;base=LAW&amp;n=451864&amp;date=18.03.2024&amp;dst=19&amp;field=134" TargetMode="External"/><Relationship Id="rId18" Type="http://schemas.openxmlformats.org/officeDocument/2006/relationships/hyperlink" Target="https://login.consultant.ru/link/?req=doc&amp;base=LAW&amp;n=433653&amp;date=18.03.2024&amp;dst=100006&amp;field=134" TargetMode="External"/><Relationship Id="rId26" Type="http://schemas.openxmlformats.org/officeDocument/2006/relationships/hyperlink" Target="https://login.consultant.ru/link/?req=doc&amp;base=LAW&amp;n=208834&amp;date=18.03.2024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550&amp;date=18.03.2024" TargetMode="External"/><Relationship Id="rId34" Type="http://schemas.openxmlformats.org/officeDocument/2006/relationships/hyperlink" Target="https://login.consultant.ru/link/?req=doc&amp;base=LAW&amp;n=459983&amp;date=18.03.2024" TargetMode="External"/><Relationship Id="rId7" Type="http://schemas.openxmlformats.org/officeDocument/2006/relationships/hyperlink" Target="https://login.consultant.ru/link/?req=doc&amp;base=LAW&amp;n=130221&amp;date=18.03.2024" TargetMode="External"/><Relationship Id="rId12" Type="http://schemas.openxmlformats.org/officeDocument/2006/relationships/hyperlink" Target="https://login.consultant.ru/link/?req=doc&amp;base=LAW&amp;n=391609&amp;date=18.03.2024" TargetMode="External"/><Relationship Id="rId17" Type="http://schemas.openxmlformats.org/officeDocument/2006/relationships/hyperlink" Target="https://login.consultant.ru/link/?req=doc&amp;base=LAW&amp;n=470444&amp;date=18.03.2024&amp;dst=100752&amp;field=134" TargetMode="External"/><Relationship Id="rId25" Type="http://schemas.openxmlformats.org/officeDocument/2006/relationships/hyperlink" Target="https://login.consultant.ru/link/?req=doc&amp;base=LAW&amp;n=131056&amp;date=18.03.2024" TargetMode="External"/><Relationship Id="rId33" Type="http://schemas.openxmlformats.org/officeDocument/2006/relationships/hyperlink" Target="https://login.consultant.ru/link/?req=doc&amp;base=LAW&amp;n=370074&amp;date=18.03.2024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392&amp;date=18.03.2024&amp;dst=105018&amp;field=134" TargetMode="External"/><Relationship Id="rId20" Type="http://schemas.openxmlformats.org/officeDocument/2006/relationships/hyperlink" Target="https://login.consultant.ru/link/?req=doc&amp;base=LAW&amp;n=401865&amp;date=18.03.2024" TargetMode="External"/><Relationship Id="rId29" Type="http://schemas.openxmlformats.org/officeDocument/2006/relationships/hyperlink" Target="https://login.consultant.ru/link/?req=doc&amp;base=LAW&amp;n=370077&amp;date=18.03.202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ate=18.03.2024" TargetMode="External"/><Relationship Id="rId11" Type="http://schemas.openxmlformats.org/officeDocument/2006/relationships/hyperlink" Target="https://login.consultant.ru/link/?req=doc&amp;base=LAW&amp;n=451873&amp;date=18.03.2024&amp;dst=79&amp;field=134" TargetMode="External"/><Relationship Id="rId24" Type="http://schemas.openxmlformats.org/officeDocument/2006/relationships/hyperlink" Target="https://login.consultant.ru/link/?req=doc&amp;base=EXP&amp;n=760051&amp;date=18.03.2024" TargetMode="External"/><Relationship Id="rId32" Type="http://schemas.openxmlformats.org/officeDocument/2006/relationships/hyperlink" Target="https://login.consultant.ru/link/?req=doc&amp;base=LAW&amp;n=370075&amp;date=18.03.2024" TargetMode="External"/><Relationship Id="rId37" Type="http://schemas.openxmlformats.org/officeDocument/2006/relationships/hyperlink" Target="https://login.consultant.ru/link/?req=doc&amp;base=RLAW368&amp;n=163191&amp;date=18.03.2024&amp;dst=100014&amp;field=134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9770&amp;date=18.03.2024" TargetMode="External"/><Relationship Id="rId23" Type="http://schemas.openxmlformats.org/officeDocument/2006/relationships/hyperlink" Target="https://login.consultant.ru/link/?req=doc&amp;base=LAW&amp;n=401865&amp;date=18.03.2024" TargetMode="External"/><Relationship Id="rId28" Type="http://schemas.openxmlformats.org/officeDocument/2006/relationships/hyperlink" Target="https://login.consultant.ru/link/?req=doc&amp;base=LAW&amp;n=459983&amp;date=18.03.2024" TargetMode="External"/><Relationship Id="rId36" Type="http://schemas.openxmlformats.org/officeDocument/2006/relationships/hyperlink" Target="https://login.consultant.ru/link/?req=doc&amp;base=LAW&amp;n=127021&amp;date=18.03.2024&amp;dst=100052&amp;field=134" TargetMode="External"/><Relationship Id="rId10" Type="http://schemas.openxmlformats.org/officeDocument/2006/relationships/hyperlink" Target="https://login.consultant.ru/link/?req=doc&amp;base=LAW&amp;n=451873&amp;date=18.03.2024&amp;dst=100035&amp;field=134" TargetMode="External"/><Relationship Id="rId19" Type="http://schemas.openxmlformats.org/officeDocument/2006/relationships/hyperlink" Target="https://login.consultant.ru/link/?req=doc&amp;base=LAW&amp;n=35503&amp;date=18.03.2024" TargetMode="External"/><Relationship Id="rId31" Type="http://schemas.openxmlformats.org/officeDocument/2006/relationships/hyperlink" Target="https://login.consultant.ru/link/?req=doc&amp;base=LAW&amp;n=389899&amp;date=18.03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873&amp;date=18.03.2024&amp;dst=325&amp;field=134" TargetMode="External"/><Relationship Id="rId14" Type="http://schemas.openxmlformats.org/officeDocument/2006/relationships/hyperlink" Target="https://login.consultant.ru/link/?req=doc&amp;base=LAW&amp;n=468406&amp;date=18.03.2024" TargetMode="External"/><Relationship Id="rId22" Type="http://schemas.openxmlformats.org/officeDocument/2006/relationships/hyperlink" Target="https://login.consultant.ru/link/?req=doc&amp;base=LAW&amp;n=328029&amp;date=18.03.2024" TargetMode="External"/><Relationship Id="rId27" Type="http://schemas.openxmlformats.org/officeDocument/2006/relationships/hyperlink" Target="https://login.consultant.ru/link/?req=doc&amp;base=LAW&amp;n=149196&amp;date=18.03.2024" TargetMode="External"/><Relationship Id="rId30" Type="http://schemas.openxmlformats.org/officeDocument/2006/relationships/hyperlink" Target="https://login.consultant.ru/link/?req=doc&amp;base=LAW&amp;n=416066&amp;date=18.03.2024" TargetMode="External"/><Relationship Id="rId35" Type="http://schemas.openxmlformats.org/officeDocument/2006/relationships/hyperlink" Target="https://login.consultant.ru/link/?req=doc&amp;base=LAW&amp;n=127021&amp;date=18.03.2024&amp;dst=1000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9853</Words>
  <Characters>56168</Characters>
  <Application>Microsoft Office Word</Application>
  <DocSecurity>2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65890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2024-03-17T23:52:00Z</dcterms:created>
  <dcterms:modified xsi:type="dcterms:W3CDTF">2024-03-17T23:52:00Z</dcterms:modified>
</cp:coreProperties>
</file>